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33025">
      <w:pPr>
        <w:keepNext/>
        <w:keepLines/>
        <w:pageBreakBefore/>
        <w:jc w:val="center"/>
        <w:outlineLvl w:val="0"/>
        <w:rPr>
          <w:rFonts w:hint="eastAsia"/>
          <w:b/>
          <w:color w:val="000000"/>
          <w:sz w:val="44"/>
          <w:szCs w:val="44"/>
          <w:highlight w:val="none"/>
        </w:rPr>
      </w:pPr>
      <w:bookmarkStart w:id="0" w:name="_Toc81575205"/>
      <w:bookmarkStart w:id="1" w:name="_Toc12255"/>
      <w:bookmarkStart w:id="2" w:name="_Toc22314"/>
      <w:bookmarkStart w:id="3" w:name="_Toc81575168"/>
      <w:bookmarkStart w:id="4" w:name="_Toc2916"/>
      <w:r>
        <w:rPr>
          <w:rFonts w:hint="eastAsia"/>
          <w:b/>
          <w:color w:val="000000"/>
          <w:sz w:val="44"/>
          <w:szCs w:val="44"/>
          <w:highlight w:val="none"/>
        </w:rPr>
        <w:t>第四章</w:t>
      </w:r>
      <w:r>
        <w:rPr>
          <w:b/>
          <w:color w:val="000000"/>
          <w:sz w:val="44"/>
          <w:szCs w:val="44"/>
          <w:highlight w:val="none"/>
        </w:rPr>
        <w:t xml:space="preserve">  </w:t>
      </w:r>
      <w:r>
        <w:rPr>
          <w:rFonts w:hint="eastAsia"/>
          <w:b/>
          <w:color w:val="000000"/>
          <w:sz w:val="44"/>
          <w:szCs w:val="44"/>
          <w:highlight w:val="none"/>
        </w:rPr>
        <w:t>采购需求</w:t>
      </w:r>
      <w:bookmarkEnd w:id="0"/>
      <w:bookmarkEnd w:id="1"/>
      <w:bookmarkEnd w:id="2"/>
      <w:bookmarkEnd w:id="3"/>
      <w:bookmarkEnd w:id="4"/>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8"/>
        <w:gridCol w:w="5178"/>
      </w:tblGrid>
      <w:tr w14:paraId="562BF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838" w:type="dxa"/>
            <w:noWrap w:val="0"/>
            <w:vAlign w:val="center"/>
          </w:tcPr>
          <w:p w14:paraId="5CD831E0">
            <w:pPr>
              <w:spacing w:line="360" w:lineRule="exact"/>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序号</w:t>
            </w:r>
          </w:p>
        </w:tc>
        <w:tc>
          <w:tcPr>
            <w:tcW w:w="5178" w:type="dxa"/>
            <w:noWrap w:val="0"/>
            <w:vAlign w:val="center"/>
          </w:tcPr>
          <w:p w14:paraId="3A3F366B">
            <w:pPr>
              <w:spacing w:line="360" w:lineRule="exact"/>
              <w:ind w:firstLine="480"/>
              <w:jc w:val="center"/>
              <w:rPr>
                <w:rFonts w:ascii="宋体" w:hAnsi="宋体"/>
                <w:color w:val="000000"/>
                <w:sz w:val="24"/>
                <w:szCs w:val="24"/>
                <w:highlight w:val="none"/>
              </w:rPr>
            </w:pPr>
            <w:r>
              <w:rPr>
                <w:rFonts w:hint="eastAsia" w:ascii="宋体" w:hAnsi="宋体"/>
                <w:color w:val="000000"/>
                <w:sz w:val="24"/>
                <w:szCs w:val="24"/>
                <w:highlight w:val="none"/>
              </w:rPr>
              <w:t>对应中</w:t>
            </w:r>
            <w:r>
              <w:rPr>
                <w:rFonts w:ascii="宋体" w:hAnsi="宋体"/>
                <w:color w:val="000000"/>
                <w:sz w:val="24"/>
                <w:szCs w:val="24"/>
                <w:highlight w:val="none"/>
              </w:rPr>
              <w:t>小企业划分标准所属行业</w:t>
            </w:r>
          </w:p>
        </w:tc>
      </w:tr>
      <w:tr w14:paraId="5F16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2838" w:type="dxa"/>
            <w:noWrap w:val="0"/>
            <w:vAlign w:val="top"/>
          </w:tcPr>
          <w:p w14:paraId="1C740805">
            <w:pPr>
              <w:tabs>
                <w:tab w:val="left" w:pos="2020"/>
              </w:tabs>
              <w:spacing w:line="48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5178" w:type="dxa"/>
            <w:noWrap w:val="0"/>
            <w:vAlign w:val="top"/>
          </w:tcPr>
          <w:p w14:paraId="3DE394C4">
            <w:pPr>
              <w:keepNext w:val="0"/>
              <w:keepLines w:val="0"/>
              <w:pageBreakBefore w:val="0"/>
              <w:widowControl w:val="0"/>
              <w:spacing w:line="480" w:lineRule="exact"/>
              <w:ind w:firstLine="0"/>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工业</w:t>
            </w:r>
          </w:p>
        </w:tc>
      </w:tr>
    </w:tbl>
    <w:p w14:paraId="1C91577F">
      <w:pPr>
        <w:pStyle w:val="7"/>
        <w:keepNext w:val="0"/>
        <w:keepLines w:val="0"/>
        <w:pageBreakBefore w:val="0"/>
        <w:kinsoku/>
        <w:wordWrap/>
        <w:overflowPunct/>
        <w:topLinePunct w:val="0"/>
        <w:autoSpaceDE/>
        <w:autoSpaceDN/>
        <w:bidi w:val="0"/>
        <w:adjustRightInd/>
        <w:spacing w:line="480" w:lineRule="exact"/>
        <w:ind w:firstLine="482" w:firstLineChars="200"/>
        <w:jc w:val="left"/>
        <w:textAlignment w:val="auto"/>
        <w:rPr>
          <w:rFonts w:hint="eastAsia" w:ascii="微软雅黑" w:hAnsi="微软雅黑" w:eastAsia="微软雅黑" w:cs="微软雅黑"/>
          <w:i w:val="0"/>
          <w:iCs w:val="0"/>
          <w:caps w:val="0"/>
          <w:color w:val="auto"/>
          <w:spacing w:val="0"/>
          <w:kern w:val="2"/>
          <w:sz w:val="21"/>
          <w:szCs w:val="21"/>
          <w:highlight w:val="none"/>
          <w:shd w:val="clear" w:fill="FFFFFF"/>
          <w:lang w:val="en-US" w:eastAsia="zh-CN" w:bidi="ar-SA"/>
        </w:rPr>
      </w:pPr>
      <w:r>
        <w:rPr>
          <w:rFonts w:hint="eastAsia" w:ascii="宋体" w:hAnsi="宋体" w:eastAsia="宋体" w:cs="宋体"/>
          <w:b/>
          <w:bCs/>
          <w:color w:val="auto"/>
          <w:sz w:val="24"/>
          <w:szCs w:val="24"/>
          <w:highlight w:val="none"/>
        </w:rPr>
        <w:t>一、项目概述</w:t>
      </w:r>
    </w:p>
    <w:p w14:paraId="2C79F97E">
      <w:pPr>
        <w:pStyle w:val="7"/>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i w:val="0"/>
          <w:iCs w:val="0"/>
          <w:caps w:val="0"/>
          <w:color w:val="auto"/>
          <w:spacing w:val="0"/>
          <w:sz w:val="24"/>
          <w:szCs w:val="24"/>
          <w:highlight w:val="none"/>
          <w:shd w:val="clear" w:fill="FFFFFF"/>
        </w:rPr>
        <w:t>泗洪县第一人民医院妇幼保健楼核磁、CT、双板悬吊DR项目</w:t>
      </w:r>
    </w:p>
    <w:p w14:paraId="5282AD15">
      <w:pPr>
        <w:pStyle w:val="7"/>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w:t>
      </w:r>
      <w:r>
        <w:rPr>
          <w:rFonts w:hint="eastAsia" w:ascii="宋体" w:hAnsi="宋体" w:eastAsia="宋体" w:cs="宋体"/>
          <w:b w:val="0"/>
          <w:bCs w:val="0"/>
          <w:color w:val="auto"/>
          <w:sz w:val="24"/>
          <w:szCs w:val="24"/>
          <w:highlight w:val="none"/>
          <w:lang w:val="en-US" w:eastAsia="zh-CN"/>
        </w:rPr>
        <w:t>：为进一步提升医院诊断能力，提高服务效率，泗洪县第一人民医院拟计划采购1台3.0T核磁共振、1台64排计算机体层摄影设备、1台双板悬吊DR（含全脊柱成像）。</w:t>
      </w:r>
    </w:p>
    <w:p w14:paraId="03D4E4B5">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）项目最高限价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1490</w:t>
      </w:r>
      <w:r>
        <w:rPr>
          <w:rFonts w:hint="eastAsia" w:ascii="宋体" w:hAnsi="宋体" w:eastAsia="宋体" w:cs="宋体"/>
          <w:b w:val="0"/>
          <w:bCs w:val="0"/>
          <w:color w:val="auto"/>
          <w:sz w:val="24"/>
          <w:szCs w:val="24"/>
          <w:highlight w:val="none"/>
          <w:lang w:val="en-US" w:eastAsia="zh-CN"/>
        </w:rPr>
        <w:t>万元</w:t>
      </w: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 </w:t>
      </w:r>
    </w:p>
    <w:p w14:paraId="6590B63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pacing w:before="0" w:beforeAutospacing="0" w:after="0" w:afterAutospacing="0" w:line="480" w:lineRule="exact"/>
        <w:ind w:left="0" w:right="0" w:firstLine="482" w:firstLineChars="200"/>
        <w:jc w:val="both"/>
        <w:textAlignment w:val="auto"/>
        <w:rPr>
          <w:color w:val="auto"/>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r>
        <w:rPr>
          <w:rFonts w:hint="default" w:ascii="Times New Roman" w:hAnsi="Times New Roman" w:cs="Times New Roman"/>
          <w:b/>
          <w:bCs/>
          <w:color w:val="auto"/>
          <w:sz w:val="24"/>
          <w:szCs w:val="24"/>
          <w:highlight w:val="none"/>
          <w:shd w:val="clear" w:fill="FFFFFF"/>
        </w:rPr>
        <w:t>供货时间、售后服务期、实施地点</w:t>
      </w:r>
    </w:p>
    <w:p w14:paraId="019A2D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color w:val="auto"/>
          <w:highlight w:val="none"/>
        </w:rPr>
      </w:pPr>
      <w:r>
        <w:rPr>
          <w:rFonts w:hint="default" w:ascii="Times New Roman" w:hAnsi="Times New Roman" w:cs="Times New Roman"/>
          <w:color w:val="auto"/>
          <w:sz w:val="24"/>
          <w:szCs w:val="24"/>
          <w:highlight w:val="none"/>
          <w:shd w:val="clear" w:fill="FFFFFF"/>
        </w:rPr>
        <w:t>1、供货时间：采购合同签订后</w:t>
      </w:r>
      <w:r>
        <w:rPr>
          <w:rFonts w:hint="default" w:ascii="Times New Roman" w:hAnsi="Times New Roman" w:cs="Times New Roman"/>
          <w:color w:val="auto"/>
          <w:sz w:val="24"/>
          <w:szCs w:val="24"/>
          <w:highlight w:val="none"/>
          <w:u w:val="single"/>
          <w:shd w:val="clear" w:fill="FFFFFF"/>
        </w:rPr>
        <w:t xml:space="preserve"> 90 </w:t>
      </w:r>
      <w:r>
        <w:rPr>
          <w:rFonts w:hint="default" w:ascii="Times New Roman" w:hAnsi="Times New Roman" w:cs="Times New Roman"/>
          <w:color w:val="auto"/>
          <w:sz w:val="24"/>
          <w:szCs w:val="24"/>
          <w:highlight w:val="none"/>
          <w:shd w:val="clear" w:fill="FFFFFF"/>
        </w:rPr>
        <w:t>日内供货安装调试完毕并交付使用。</w:t>
      </w:r>
    </w:p>
    <w:p w14:paraId="71D6AD1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pacing w:before="0" w:beforeAutospacing="0" w:after="0" w:afterAutospacing="0" w:line="480" w:lineRule="exact"/>
        <w:ind w:right="0" w:firstLine="480" w:firstLineChars="200"/>
        <w:textAlignment w:val="auto"/>
        <w:rPr>
          <w:color w:val="auto"/>
          <w:highlight w:val="none"/>
        </w:rPr>
      </w:pPr>
      <w:r>
        <w:rPr>
          <w:rFonts w:hint="default" w:ascii="Times New Roman" w:hAnsi="Times New Roman" w:cs="Times New Roman"/>
          <w:color w:val="auto"/>
          <w:sz w:val="24"/>
          <w:szCs w:val="24"/>
          <w:highlight w:val="none"/>
          <w:shd w:val="clear" w:fill="FFFFFF"/>
        </w:rPr>
        <w:t>2、</w:t>
      </w:r>
      <w:r>
        <w:rPr>
          <w:rFonts w:hint="default" w:ascii="Times New Roman" w:hAnsi="Times New Roman" w:cs="Times New Roman"/>
          <w:b/>
          <w:bCs/>
          <w:color w:val="auto"/>
          <w:sz w:val="24"/>
          <w:szCs w:val="24"/>
          <w:highlight w:val="none"/>
          <w:shd w:val="clear" w:fill="FFFFFF"/>
        </w:rPr>
        <w:t>售后服务期：设备验收通过之日起，提供</w:t>
      </w:r>
      <w:r>
        <w:rPr>
          <w:rFonts w:hint="eastAsia" w:ascii="Times New Roman" w:hAnsi="Times New Roman" w:cs="Times New Roman"/>
          <w:b/>
          <w:bCs/>
          <w:color w:val="auto"/>
          <w:sz w:val="24"/>
          <w:szCs w:val="24"/>
          <w:highlight w:val="none"/>
          <w:shd w:val="clear" w:fill="FFFFFF"/>
          <w:lang w:val="en-US" w:eastAsia="zh-CN"/>
        </w:rPr>
        <w:t>1</w:t>
      </w:r>
      <w:r>
        <w:rPr>
          <w:rFonts w:hint="default" w:ascii="Times New Roman" w:hAnsi="Times New Roman" w:cs="Times New Roman"/>
          <w:b/>
          <w:bCs/>
          <w:color w:val="auto"/>
          <w:sz w:val="24"/>
          <w:szCs w:val="24"/>
          <w:highlight w:val="none"/>
          <w:shd w:val="clear" w:fill="FFFFFF"/>
        </w:rPr>
        <w:t>年</w:t>
      </w:r>
      <w:r>
        <w:rPr>
          <w:rFonts w:hint="eastAsia" w:ascii="Times New Roman" w:hAnsi="Times New Roman" w:cs="Times New Roman"/>
          <w:b/>
          <w:bCs/>
          <w:color w:val="auto"/>
          <w:sz w:val="24"/>
          <w:szCs w:val="24"/>
          <w:highlight w:val="none"/>
          <w:shd w:val="clear" w:fill="FFFFFF"/>
          <w:lang w:val="en-US" w:eastAsia="zh-CN"/>
        </w:rPr>
        <w:t>质保</w:t>
      </w:r>
      <w:r>
        <w:rPr>
          <w:rFonts w:hint="default" w:ascii="Times New Roman" w:hAnsi="Times New Roman" w:cs="Times New Roman"/>
          <w:b/>
          <w:bCs/>
          <w:color w:val="auto"/>
          <w:sz w:val="24"/>
          <w:szCs w:val="24"/>
          <w:highlight w:val="none"/>
          <w:shd w:val="clear" w:fill="FFFFFF"/>
        </w:rPr>
        <w:t>。</w:t>
      </w:r>
    </w:p>
    <w:p w14:paraId="20B6FD1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szCs w:val="24"/>
          <w:highlight w:val="none"/>
          <w:shd w:val="clear" w:fill="FFFFFF"/>
        </w:rPr>
      </w:pPr>
      <w:r>
        <w:rPr>
          <w:rFonts w:hint="default" w:ascii="Times New Roman" w:hAnsi="Times New Roman" w:cs="Times New Roman"/>
          <w:color w:val="auto"/>
          <w:sz w:val="24"/>
          <w:szCs w:val="24"/>
          <w:highlight w:val="none"/>
          <w:shd w:val="clear" w:fill="FFFFFF"/>
        </w:rPr>
        <w:t>3、实施地点：采购人指定地点。</w:t>
      </w:r>
    </w:p>
    <w:p w14:paraId="6AB87CF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pacing w:before="0" w:beforeAutospacing="0" w:after="0" w:afterAutospacing="0" w:line="480" w:lineRule="exact"/>
        <w:ind w:left="0" w:right="0" w:firstLine="482" w:firstLineChars="200"/>
        <w:textAlignment w:val="auto"/>
        <w:rPr>
          <w:rFonts w:hint="default" w:ascii="Times New Roman" w:hAnsi="Times New Roman" w:eastAsia="宋体" w:cs="Times New Roman"/>
          <w:b/>
          <w:bCs/>
          <w:color w:val="auto"/>
          <w:sz w:val="24"/>
          <w:szCs w:val="24"/>
          <w:highlight w:val="none"/>
          <w:shd w:val="clear" w:fill="FFFFFF"/>
          <w:lang w:val="en-US" w:eastAsia="zh-CN"/>
        </w:rPr>
      </w:pPr>
      <w:r>
        <w:rPr>
          <w:rFonts w:hint="default" w:ascii="Times New Roman" w:hAnsi="Times New Roman" w:cs="Times New Roman"/>
          <w:b/>
          <w:bCs/>
          <w:color w:val="auto"/>
          <w:sz w:val="24"/>
          <w:szCs w:val="24"/>
          <w:highlight w:val="none"/>
          <w:shd w:val="clear" w:fill="FFFFFF"/>
        </w:rPr>
        <w:t>（五）</w:t>
      </w:r>
      <w:r>
        <w:rPr>
          <w:rFonts w:hint="eastAsia" w:ascii="Times New Roman" w:hAnsi="Times New Roman" w:cs="Times New Roman"/>
          <w:b/>
          <w:bCs/>
          <w:color w:val="auto"/>
          <w:sz w:val="24"/>
          <w:szCs w:val="24"/>
          <w:highlight w:val="none"/>
          <w:shd w:val="clear" w:fill="FFFFFF"/>
          <w:lang w:val="en-US" w:eastAsia="zh-CN"/>
        </w:rPr>
        <w:t>核心产品：3.0T核磁共振</w:t>
      </w:r>
    </w:p>
    <w:p w14:paraId="5F2D7044">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）付款方式</w:t>
      </w:r>
      <w:r>
        <w:rPr>
          <w:rFonts w:hint="eastAsia" w:ascii="宋体" w:hAnsi="宋体" w:eastAsia="宋体" w:cs="宋体"/>
          <w:b w:val="0"/>
          <w:bCs w:val="0"/>
          <w:color w:val="auto"/>
          <w:sz w:val="24"/>
          <w:szCs w:val="24"/>
          <w:highlight w:val="none"/>
          <w:lang w:val="en-US" w:eastAsia="zh-CN"/>
        </w:rPr>
        <w:t>：预付款：签订合同后，支付合同总价款的30%；</w:t>
      </w:r>
    </w:p>
    <w:p w14:paraId="0D9F9C99">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进度款：货物到现场安装调试完毕稳定运行，经采购人验收合格后，将货款支付到合同总价款的100%。</w:t>
      </w:r>
    </w:p>
    <w:p w14:paraId="6CA2F1ED">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p w14:paraId="68089D62">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（1）可以采用数字人民币支付；</w:t>
      </w:r>
    </w:p>
    <w:p w14:paraId="7D52B3F4">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（2）资金支付的时间：收到供应商发票10个工作日内；</w:t>
      </w:r>
    </w:p>
    <w:p w14:paraId="439186FC">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（3）资金支付的条件：满足相应阶段的要求且收到供应商发票；</w:t>
      </w:r>
    </w:p>
    <w:p w14:paraId="7D4D3F84">
      <w:pPr>
        <w:pStyle w:val="12"/>
        <w:keepNext w:val="0"/>
        <w:keepLines w:val="0"/>
        <w:pageBreakBefore w:val="0"/>
        <w:widowControl w:val="0"/>
        <w:kinsoku/>
        <w:wordWrap/>
        <w:overflowPunct/>
        <w:topLinePunct w:val="0"/>
        <w:autoSpaceDE/>
        <w:autoSpaceDN/>
        <w:bidi w:val="0"/>
        <w:adjustRightInd/>
        <w:snapToGrid w:val="0"/>
        <w:spacing w:line="480" w:lineRule="exact"/>
        <w:ind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（4）当采购数量与实际使用数量不一致时，供应商应根据实际使用量供货，合同的最终结算金额按实际使用量乘以成交单价进行计算；</w:t>
      </w:r>
    </w:p>
    <w:p w14:paraId="67AF0C4D">
      <w:pPr>
        <w:pStyle w:val="1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（5）在签订合同时，供应商明确表示无需预付款或者主动要求降低预付款比例的，采购人可不适用前述规定。</w:t>
      </w:r>
    </w:p>
    <w:p w14:paraId="61EFBD50">
      <w:pPr>
        <w:pStyle w:val="12"/>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p>
    <w:p w14:paraId="33B7C324">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35E83C0">
      <w:pPr>
        <w:pStyle w:val="12"/>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p>
    <w:p w14:paraId="64E93A90">
      <w:pPr>
        <w:pStyle w:val="12"/>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二．采购清单及技术参数</w:t>
      </w:r>
    </w:p>
    <w:tbl>
      <w:tblPr>
        <w:tblStyle w:val="5"/>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54"/>
        <w:gridCol w:w="5593"/>
        <w:gridCol w:w="658"/>
        <w:gridCol w:w="659"/>
      </w:tblGrid>
      <w:tr w14:paraId="6BD1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gridSpan w:val="2"/>
            <w:vAlign w:val="top"/>
          </w:tcPr>
          <w:p w14:paraId="465FFF83">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名称</w:t>
            </w:r>
          </w:p>
        </w:tc>
        <w:tc>
          <w:tcPr>
            <w:tcW w:w="5593" w:type="dxa"/>
            <w:vAlign w:val="top"/>
          </w:tcPr>
          <w:p w14:paraId="56FEFEA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技术要求</w:t>
            </w:r>
          </w:p>
        </w:tc>
        <w:tc>
          <w:tcPr>
            <w:tcW w:w="658" w:type="dxa"/>
            <w:vAlign w:val="top"/>
          </w:tcPr>
          <w:p w14:paraId="2EAEAB76">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659" w:type="dxa"/>
            <w:vAlign w:val="top"/>
          </w:tcPr>
          <w:p w14:paraId="0422B38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67E0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restart"/>
            <w:vAlign w:val="top"/>
          </w:tcPr>
          <w:p w14:paraId="3A6C44E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02364A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D043F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AEE050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F0CDB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4D9DF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C85F90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4F1826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FAD0C9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ACF16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D950A8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6EB6C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B8DEE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D4CC629">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核</w:t>
            </w:r>
          </w:p>
          <w:p w14:paraId="00253C13">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磁</w:t>
            </w:r>
          </w:p>
          <w:p w14:paraId="0643941B">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共</w:t>
            </w:r>
          </w:p>
          <w:p w14:paraId="11FA8E19">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振</w:t>
            </w:r>
          </w:p>
          <w:p w14:paraId="0672940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w:t>
            </w:r>
          </w:p>
        </w:tc>
        <w:tc>
          <w:tcPr>
            <w:tcW w:w="1654" w:type="dxa"/>
            <w:vAlign w:val="top"/>
          </w:tcPr>
          <w:p w14:paraId="52B55E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E6CAB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D93F9F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413787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C79753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EAFB55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27F559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D14C0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A48E46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E5D0AE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B4ACE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00697D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4C0957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7AAFDD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CA7DAA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3.0T核磁共振</w:t>
            </w:r>
          </w:p>
        </w:tc>
        <w:tc>
          <w:tcPr>
            <w:tcW w:w="5593" w:type="dxa"/>
            <w:vAlign w:val="top"/>
          </w:tcPr>
          <w:p w14:paraId="3E9DBC89">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★1.磁场强度：≥3.0T</w:t>
            </w:r>
          </w:p>
          <w:p w14:paraId="5F4F156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2.磁场稳定度（磁场稳定性）〱0.1PPm/h</w:t>
            </w:r>
          </w:p>
          <w:p w14:paraId="3B9CB1CA">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3.磁体孔径（病人检查通道）≥65cm</w:t>
            </w:r>
          </w:p>
          <w:p w14:paraId="52CA64D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4.磁场均匀度：10cm DSV ≤0.01 PPm, 20cm DSV ≤0.03 PPm, 30cm DSV ≤0.07 PPm, 40cm DSV ≤0.37 PPm。</w:t>
            </w:r>
          </w:p>
          <w:p w14:paraId="491C906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5.磁体重量≤7.6吨</w:t>
            </w:r>
          </w:p>
          <w:p w14:paraId="5F024469">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6.磁体长度：≥162cm</w:t>
            </w:r>
          </w:p>
          <w:p w14:paraId="319B9117">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★7.最大单轴梯度场强（非等效值）≥40mT/m,最大单轴梯度切换率（非等效值）≥200T/m/S</w:t>
            </w:r>
          </w:p>
          <w:p w14:paraId="20617AF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★8.梯度场强最大时，最短梯度爬升时间≤0.225ms</w:t>
            </w:r>
          </w:p>
          <w:p w14:paraId="418CFA4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▲9.压缩感知技术（GE提供Hyper Sense,西门子提供Compressed Sensing,飞利浦提供Compressed Sense,联影提供uCS，其他厂家提供同等技术）。</w:t>
            </w:r>
          </w:p>
          <w:p w14:paraId="60CBD0E7">
            <w:pPr>
              <w:keepNext w:val="0"/>
              <w:keepLines w:val="0"/>
              <w:suppressLineNumbers w:val="0"/>
              <w:spacing w:before="0" w:beforeLines="0" w:beforeAutospacing="0" w:after="0" w:afterLines="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▲10.线圈固有接口≥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个（非转接口）</w:t>
            </w:r>
          </w:p>
          <w:p w14:paraId="1D0F57B4">
            <w:pPr>
              <w:keepNext w:val="0"/>
              <w:keepLines w:val="0"/>
              <w:suppressLineNumbers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11原厂头颈联合线圈1个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原厂脊柱线圈1个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原厂体部线圈1个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原厂大柔性线圈1个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原厂小柔性线圈1个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原厂肩关节专用线圈1个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原厂乳腺专用线圈1个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原厂膝关节专用线圈1个</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原厂足踝关节专用线圈1个</w:t>
            </w:r>
            <w:r>
              <w:rPr>
                <w:rFonts w:hint="eastAsia" w:ascii="宋体" w:hAnsi="宋体" w:cs="宋体"/>
                <w:b w:val="0"/>
                <w:bCs w:val="0"/>
                <w:color w:val="auto"/>
                <w:sz w:val="21"/>
                <w:szCs w:val="21"/>
                <w:highlight w:val="none"/>
                <w:vertAlign w:val="baseline"/>
                <w:lang w:val="en-US" w:eastAsia="zh-CN"/>
              </w:rPr>
              <w:t>。</w:t>
            </w:r>
          </w:p>
          <w:p w14:paraId="760539EC">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◇12</w:t>
            </w:r>
            <w:r>
              <w:rPr>
                <w:rFonts w:hint="eastAsia" w:ascii="宋体" w:hAnsi="宋体" w:eastAsia="宋体" w:cs="宋体"/>
                <w:b w:val="0"/>
                <w:bCs w:val="0"/>
                <w:color w:val="auto"/>
                <w:sz w:val="21"/>
                <w:szCs w:val="21"/>
                <w:highlight w:val="none"/>
                <w:vertAlign w:val="baseline"/>
                <w:lang w:val="en-US" w:eastAsia="zh-CN"/>
              </w:rPr>
              <w:t>.原厂后处理工作站1套</w:t>
            </w:r>
          </w:p>
          <w:p w14:paraId="768A0DE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◇13</w:t>
            </w:r>
            <w:r>
              <w:rPr>
                <w:rFonts w:hint="eastAsia" w:ascii="宋体" w:hAnsi="宋体" w:eastAsia="宋体" w:cs="宋体"/>
                <w:b w:val="0"/>
                <w:bCs w:val="0"/>
                <w:color w:val="auto"/>
                <w:sz w:val="21"/>
                <w:szCs w:val="21"/>
                <w:highlight w:val="none"/>
                <w:vertAlign w:val="baseline"/>
                <w:lang w:val="en-US" w:eastAsia="zh-CN"/>
              </w:rPr>
              <w:t>.临床应用软件：3D ASL、4D动态血管增强技术、呼吸导航技术、小视野弥散技术、前列腺波谱成像技术等。</w:t>
            </w:r>
          </w:p>
        </w:tc>
        <w:tc>
          <w:tcPr>
            <w:tcW w:w="658" w:type="dxa"/>
            <w:vAlign w:val="top"/>
          </w:tcPr>
          <w:p w14:paraId="405971A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0148D2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DE243E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1966D7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ABDA5E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FE66C2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EA934C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4FF545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524C4E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191995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DE551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5FA6C4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F2891C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45FB24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C83EC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90F3E4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7A05944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B1C31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2CE40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67F814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785E33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B5ACA0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61D890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EABE73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4106E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CB1FB2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C0E3A2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DDA3D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4EFDBC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B8F2B6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742A9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8093F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632B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9" w:type="dxa"/>
            <w:vMerge w:val="continue"/>
            <w:vAlign w:val="top"/>
          </w:tcPr>
          <w:p w14:paraId="52078D7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34BAC0A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无磁转运床</w:t>
            </w:r>
          </w:p>
        </w:tc>
        <w:tc>
          <w:tcPr>
            <w:tcW w:w="5593" w:type="dxa"/>
            <w:vAlign w:val="top"/>
          </w:tcPr>
          <w:p w14:paraId="3DA7B77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航空铝/无磁不锈钢材质，承重≥180kg，可升降(550-800mm)，适配MRI环境。</w:t>
            </w:r>
          </w:p>
        </w:tc>
        <w:tc>
          <w:tcPr>
            <w:tcW w:w="658" w:type="dxa"/>
            <w:vAlign w:val="top"/>
          </w:tcPr>
          <w:p w14:paraId="5F42129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3F08199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6C99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1020CC5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4841008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金属探测门</w:t>
            </w:r>
          </w:p>
        </w:tc>
        <w:tc>
          <w:tcPr>
            <w:tcW w:w="5593" w:type="dxa"/>
            <w:vAlign w:val="top"/>
          </w:tcPr>
          <w:p w14:paraId="4446610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探测灵敏度≥50级</w:t>
            </w:r>
          </w:p>
          <w:p w14:paraId="0722E6F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磁感应强度≤7μT</w:t>
            </w:r>
            <w:r>
              <w:rPr>
                <w:rFonts w:hint="eastAsia" w:ascii="宋体" w:hAnsi="宋体" w:cs="宋体"/>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支持实时金属数值显示。</w:t>
            </w:r>
          </w:p>
        </w:tc>
        <w:tc>
          <w:tcPr>
            <w:tcW w:w="658" w:type="dxa"/>
            <w:vAlign w:val="top"/>
          </w:tcPr>
          <w:p w14:paraId="3C7F5B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50E98B5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4E7A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63A5C21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48E15BB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无磁灭火器</w:t>
            </w:r>
          </w:p>
        </w:tc>
        <w:tc>
          <w:tcPr>
            <w:tcW w:w="5593" w:type="dxa"/>
            <w:vAlign w:val="top"/>
          </w:tcPr>
          <w:p w14:paraId="7908EE4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适配MRI环境下使用</w:t>
            </w:r>
          </w:p>
        </w:tc>
        <w:tc>
          <w:tcPr>
            <w:tcW w:w="658" w:type="dxa"/>
            <w:vAlign w:val="top"/>
          </w:tcPr>
          <w:p w14:paraId="34E0353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3154386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0C08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257808A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3D71B35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无磁线圈柜</w:t>
            </w:r>
          </w:p>
        </w:tc>
        <w:tc>
          <w:tcPr>
            <w:tcW w:w="5593" w:type="dxa"/>
            <w:vAlign w:val="top"/>
          </w:tcPr>
          <w:p w14:paraId="6EFF619E">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适配MRI环境下使用</w:t>
            </w:r>
          </w:p>
        </w:tc>
        <w:tc>
          <w:tcPr>
            <w:tcW w:w="658" w:type="dxa"/>
            <w:vAlign w:val="top"/>
          </w:tcPr>
          <w:p w14:paraId="5A6FD3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089CF84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4F82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23C981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50671AA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精密空调</w:t>
            </w:r>
          </w:p>
        </w:tc>
        <w:tc>
          <w:tcPr>
            <w:tcW w:w="5593" w:type="dxa"/>
            <w:vAlign w:val="top"/>
          </w:tcPr>
          <w:p w14:paraId="7299DF69">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适配MRI环境下使用，包含温湿度控制精度±0.5℃</w:t>
            </w:r>
          </w:p>
        </w:tc>
        <w:tc>
          <w:tcPr>
            <w:tcW w:w="658" w:type="dxa"/>
            <w:vAlign w:val="top"/>
          </w:tcPr>
          <w:p w14:paraId="607BE9C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1E5AF5C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4CE7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4F7CE8A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3AE2055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水冷机组</w:t>
            </w:r>
          </w:p>
        </w:tc>
        <w:tc>
          <w:tcPr>
            <w:tcW w:w="5593" w:type="dxa"/>
            <w:vAlign w:val="top"/>
          </w:tcPr>
          <w:p w14:paraId="5C4327A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适配MRI环境下使用</w:t>
            </w:r>
          </w:p>
        </w:tc>
        <w:tc>
          <w:tcPr>
            <w:tcW w:w="658" w:type="dxa"/>
            <w:vAlign w:val="top"/>
          </w:tcPr>
          <w:p w14:paraId="4294798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F5F5D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组</w:t>
            </w:r>
          </w:p>
        </w:tc>
      </w:tr>
      <w:tr w14:paraId="7FB8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9" w:type="dxa"/>
            <w:vMerge w:val="continue"/>
            <w:vAlign w:val="top"/>
          </w:tcPr>
          <w:p w14:paraId="5E921B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682CD7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机房屏蔽装修</w:t>
            </w:r>
          </w:p>
        </w:tc>
        <w:tc>
          <w:tcPr>
            <w:tcW w:w="5593" w:type="dxa"/>
            <w:vAlign w:val="top"/>
          </w:tcPr>
          <w:p w14:paraId="3CE420F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（含地面及周围土建改造）及性能检测（符合国家达标）</w:t>
            </w:r>
          </w:p>
        </w:tc>
        <w:tc>
          <w:tcPr>
            <w:tcW w:w="658" w:type="dxa"/>
            <w:vAlign w:val="top"/>
          </w:tcPr>
          <w:p w14:paraId="566A1A8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8A412F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w:t>
            </w:r>
          </w:p>
        </w:tc>
      </w:tr>
      <w:tr w14:paraId="0D6B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45C1F7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4DE70B1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影像报告系统</w:t>
            </w:r>
          </w:p>
        </w:tc>
        <w:tc>
          <w:tcPr>
            <w:tcW w:w="5593" w:type="dxa"/>
            <w:vAlign w:val="top"/>
          </w:tcPr>
          <w:p w14:paraId="0BD138E0">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（报告系统及设备）</w:t>
            </w:r>
          </w:p>
        </w:tc>
        <w:tc>
          <w:tcPr>
            <w:tcW w:w="658" w:type="dxa"/>
            <w:vAlign w:val="top"/>
          </w:tcPr>
          <w:p w14:paraId="3E9DC35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4DB154D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0833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00333A1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6D1BB6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3M医用显示器</w:t>
            </w:r>
          </w:p>
        </w:tc>
        <w:tc>
          <w:tcPr>
            <w:tcW w:w="5593" w:type="dxa"/>
            <w:vAlign w:val="top"/>
          </w:tcPr>
          <w:p w14:paraId="29EE819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DICOM校准及亮度稳定</w:t>
            </w:r>
          </w:p>
        </w:tc>
        <w:tc>
          <w:tcPr>
            <w:tcW w:w="658" w:type="dxa"/>
            <w:vAlign w:val="top"/>
          </w:tcPr>
          <w:p w14:paraId="3A1E472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347EFEF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r>
      <w:tr w14:paraId="7AA2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663DC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16299A1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配套桌椅</w:t>
            </w:r>
          </w:p>
        </w:tc>
        <w:tc>
          <w:tcPr>
            <w:tcW w:w="5593" w:type="dxa"/>
            <w:vAlign w:val="top"/>
          </w:tcPr>
          <w:p w14:paraId="07E40E6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适合工作人员操作</w:t>
            </w:r>
          </w:p>
        </w:tc>
        <w:tc>
          <w:tcPr>
            <w:tcW w:w="658" w:type="dxa"/>
            <w:vAlign w:val="top"/>
          </w:tcPr>
          <w:p w14:paraId="4FD8A2C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3BAE95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4740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restart"/>
            <w:vAlign w:val="top"/>
          </w:tcPr>
          <w:p w14:paraId="37B43C3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66DBA37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3B14851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09D9852D">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186B8A1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3EA8397A">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78C5BF2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2555817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369A1C7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1F00C499">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375D8D5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54B28464">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6C9792B2">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2DDCEA10">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5C4C4207">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6E176D21">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49E72821">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575A7302">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2A30EF2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0657DED6">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p>
          <w:p w14:paraId="12D160F7">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CT</w:t>
            </w:r>
          </w:p>
        </w:tc>
        <w:tc>
          <w:tcPr>
            <w:tcW w:w="1654" w:type="dxa"/>
            <w:vAlign w:val="top"/>
          </w:tcPr>
          <w:p w14:paraId="70C4B0F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62F295A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6FF92839">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23237C6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48708F8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7E0F3AE4">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78E6892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15200D08">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10AFAAC7">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4A783A73">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52621A2B">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64排128层CT</w:t>
            </w:r>
          </w:p>
        </w:tc>
        <w:tc>
          <w:tcPr>
            <w:tcW w:w="5593" w:type="dxa"/>
            <w:vAlign w:val="top"/>
          </w:tcPr>
          <w:p w14:paraId="1ED5E640">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★1.探测器排数≥64排</w:t>
            </w:r>
          </w:p>
          <w:p w14:paraId="579EBB3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2. 机架孔径：≥70cm</w:t>
            </w:r>
          </w:p>
          <w:p w14:paraId="38CB433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★3.最快扫描速度（机架最快旋转扫描时间） ≤0.35s/360°</w:t>
            </w:r>
          </w:p>
          <w:p w14:paraId="0FA6572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4. 球管小焦点（球管最小焦点）：≤1.0mm×1.0mm</w:t>
            </w:r>
          </w:p>
          <w:p w14:paraId="3917055B">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5.球管大焦点（球管最大焦点）：≤1.2mm×1.8mm</w:t>
            </w:r>
          </w:p>
          <w:p w14:paraId="1C67ED5F">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★6.球管阳极热容量（非等效值）：≥7MHU</w:t>
            </w:r>
          </w:p>
          <w:p w14:paraId="465E6CC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7.最薄扫描层厚：≤0.625mm</w:t>
            </w:r>
          </w:p>
          <w:p w14:paraId="51C1EF0F">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8.机架内冷却方式：风冷</w:t>
            </w:r>
          </w:p>
          <w:p w14:paraId="79DDDF6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9.球管阳极最大散热率：≥1000KHU/min</w:t>
            </w:r>
          </w:p>
          <w:p w14:paraId="0E75F8F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10.探测器物理宽度≥38mm</w:t>
            </w:r>
          </w:p>
          <w:p w14:paraId="4EEF4B6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11.原厂专用影像独立后处理工作站，全部临床应用功能和分析软件均能在影像后处理工作站上独立实现。</w:t>
            </w:r>
          </w:p>
          <w:p w14:paraId="69ABAFCF">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12.高压发生率功率（非等效）：≥70KW。</w:t>
            </w:r>
          </w:p>
          <w:p w14:paraId="7F0512CA">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13.最小球管电流：≤20mA</w:t>
            </w:r>
          </w:p>
          <w:p w14:paraId="6A151A4B">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14.最大球管电流（非等效）：≥600mA。</w:t>
            </w:r>
          </w:p>
          <w:p w14:paraId="5C1B4F3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15.临床应用软件：高级肺气肿肺实质分析软件、高级血管分析软件、智能骨结构评估软件、齿科分析软件等</w:t>
            </w:r>
          </w:p>
          <w:p w14:paraId="139FE9ED">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1</w:t>
            </w:r>
            <w:r>
              <w:rPr>
                <w:rFonts w:hint="eastAsia" w:ascii="宋体" w:hAnsi="宋体" w:cs="宋体"/>
                <w:b w:val="0"/>
                <w:bCs w:val="0"/>
                <w:color w:val="auto"/>
                <w:sz w:val="21"/>
                <w:szCs w:val="21"/>
                <w:highlight w:val="none"/>
                <w:vertAlign w:val="baseline"/>
                <w:lang w:val="en-US" w:eastAsia="zh-CN"/>
              </w:rPr>
              <w:t>6</w:t>
            </w:r>
            <w:r>
              <w:rPr>
                <w:rFonts w:hint="eastAsia" w:ascii="宋体" w:hAnsi="宋体" w:eastAsia="宋体" w:cs="宋体"/>
                <w:b w:val="0"/>
                <w:bCs w:val="0"/>
                <w:color w:val="auto"/>
                <w:sz w:val="21"/>
                <w:szCs w:val="21"/>
                <w:highlight w:val="none"/>
                <w:vertAlign w:val="baseline"/>
                <w:lang w:val="en-US" w:eastAsia="zh-CN"/>
              </w:rPr>
              <w:t>.提供符合射线防护标准的防护用品</w:t>
            </w:r>
          </w:p>
          <w:p w14:paraId="2C8DF5E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18.投标人负责全面承担以下事务：本项目设备机房防护及机房所有关联的环评、卫评、计量检测等事务，承担本项目相关的检测、监测并确保通过；且须全面协助采购单位取得放射诊疗许可证、辐射安全许可证。 </w:t>
            </w:r>
          </w:p>
        </w:tc>
        <w:tc>
          <w:tcPr>
            <w:tcW w:w="658" w:type="dxa"/>
            <w:vAlign w:val="top"/>
          </w:tcPr>
          <w:p w14:paraId="63EDD28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1C84246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2FC2CD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898EBA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779F452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B2A009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1C49513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15A1230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13D5E7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508527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756D1B8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EECA78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ACBDAC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45FF225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158AE3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A8E62F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659" w:type="dxa"/>
            <w:vAlign w:val="top"/>
          </w:tcPr>
          <w:p w14:paraId="74C2FA3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1E7492B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2D1BAB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3AA4E3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C2F50C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B76187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813196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07614D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4D5CE9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C2AE89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F67816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15FBFDD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77D7433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58632A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5F0767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79C0177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套</w:t>
            </w:r>
          </w:p>
        </w:tc>
      </w:tr>
      <w:tr w14:paraId="6367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680B28B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0A01F14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p w14:paraId="79DC4D55">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端口</w:t>
            </w:r>
          </w:p>
        </w:tc>
        <w:tc>
          <w:tcPr>
            <w:tcW w:w="5593" w:type="dxa"/>
            <w:vAlign w:val="top"/>
          </w:tcPr>
          <w:p w14:paraId="6D40784A">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开放无密码维修端口预留PACS系统接口须与采购单位医院的LIS、HIS、RIS、PACS信息无缝衔接及互联互通</w:t>
            </w:r>
          </w:p>
        </w:tc>
        <w:tc>
          <w:tcPr>
            <w:tcW w:w="658" w:type="dxa"/>
            <w:vAlign w:val="top"/>
          </w:tcPr>
          <w:p w14:paraId="782811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E2E7A3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1824EDA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03A46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w:t>
            </w:r>
          </w:p>
        </w:tc>
      </w:tr>
      <w:tr w14:paraId="59E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64CD1F36">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541D907B">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铅衣</w:t>
            </w:r>
          </w:p>
        </w:tc>
        <w:tc>
          <w:tcPr>
            <w:tcW w:w="5593" w:type="dxa"/>
            <w:vAlign w:val="top"/>
          </w:tcPr>
          <w:p w14:paraId="27E54DA9">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07FEE19D">
            <w:pPr>
              <w:keepNext w:val="0"/>
              <w:keepLines w:val="0"/>
              <w:suppressLineNumbers w:val="0"/>
              <w:spacing w:before="0" w:beforeAutospacing="0" w:after="0" w:afterAutospacing="0" w:line="240" w:lineRule="auto"/>
              <w:ind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5046D2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547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556FFA0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76F1BB8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铅围脖</w:t>
            </w:r>
          </w:p>
        </w:tc>
        <w:tc>
          <w:tcPr>
            <w:tcW w:w="5593" w:type="dxa"/>
            <w:vAlign w:val="top"/>
          </w:tcPr>
          <w:p w14:paraId="4F7FCA4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50A38CF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260243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0A37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DA2458D">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649526FC">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铅帽</w:t>
            </w:r>
          </w:p>
        </w:tc>
        <w:tc>
          <w:tcPr>
            <w:tcW w:w="5593" w:type="dxa"/>
            <w:vAlign w:val="top"/>
          </w:tcPr>
          <w:p w14:paraId="7450513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0DC2569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09D81DC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69CC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15AE1F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5BD42789">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铅方巾</w:t>
            </w:r>
          </w:p>
        </w:tc>
        <w:tc>
          <w:tcPr>
            <w:tcW w:w="5593" w:type="dxa"/>
            <w:vAlign w:val="top"/>
          </w:tcPr>
          <w:p w14:paraId="27EE5887">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318DE63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4F8A5F7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37B1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07EFE39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0833E01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铅眼镜</w:t>
            </w:r>
          </w:p>
        </w:tc>
        <w:tc>
          <w:tcPr>
            <w:tcW w:w="5593" w:type="dxa"/>
            <w:vAlign w:val="top"/>
          </w:tcPr>
          <w:p w14:paraId="0BA3E1DC">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763BD88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310274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1C6F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85F464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6775F0CB">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铅衣架</w:t>
            </w:r>
          </w:p>
        </w:tc>
        <w:tc>
          <w:tcPr>
            <w:tcW w:w="5593" w:type="dxa"/>
            <w:vAlign w:val="top"/>
          </w:tcPr>
          <w:p w14:paraId="643A353D">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62551C6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244FBA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19BB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794B5F08">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28C8C787">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辐射检测仪</w:t>
            </w:r>
          </w:p>
        </w:tc>
        <w:tc>
          <w:tcPr>
            <w:tcW w:w="5593" w:type="dxa"/>
            <w:vAlign w:val="top"/>
          </w:tcPr>
          <w:p w14:paraId="246841C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可检测α/β/y射线，量程0.01μSv/h-10mSv/h，带数据存储功能</w:t>
            </w:r>
          </w:p>
        </w:tc>
        <w:tc>
          <w:tcPr>
            <w:tcW w:w="658" w:type="dxa"/>
            <w:vAlign w:val="top"/>
          </w:tcPr>
          <w:p w14:paraId="3049B5B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0C7301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200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5106378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38E6C0D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剂量报警仪</w:t>
            </w:r>
          </w:p>
        </w:tc>
        <w:tc>
          <w:tcPr>
            <w:tcW w:w="5593" w:type="dxa"/>
            <w:vAlign w:val="top"/>
          </w:tcPr>
          <w:p w14:paraId="3D28FC9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实时监测累积剂量，阈值报警。</w:t>
            </w:r>
          </w:p>
        </w:tc>
        <w:tc>
          <w:tcPr>
            <w:tcW w:w="658" w:type="dxa"/>
            <w:vAlign w:val="top"/>
          </w:tcPr>
          <w:p w14:paraId="0C1F9083">
            <w:pPr>
              <w:keepNext w:val="0"/>
              <w:keepLines w:val="0"/>
              <w:suppressLineNumbers w:val="0"/>
              <w:spacing w:before="0" w:beforeAutospacing="0" w:after="0" w:afterAutospacing="0" w:line="240" w:lineRule="auto"/>
              <w:ind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25F82A2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197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9" w:type="dxa"/>
            <w:vMerge w:val="continue"/>
            <w:vAlign w:val="top"/>
          </w:tcPr>
          <w:p w14:paraId="76726DC4">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1327173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人工智能AI肋骨分析软件</w:t>
            </w:r>
          </w:p>
        </w:tc>
        <w:tc>
          <w:tcPr>
            <w:tcW w:w="5593" w:type="dxa"/>
            <w:vAlign w:val="top"/>
          </w:tcPr>
          <w:p w14:paraId="27B45E4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支持CT影像自动识别肋骨骨折</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 xml:space="preserve">准确率≥95% </w:t>
            </w:r>
          </w:p>
        </w:tc>
        <w:tc>
          <w:tcPr>
            <w:tcW w:w="658" w:type="dxa"/>
            <w:vAlign w:val="top"/>
          </w:tcPr>
          <w:p w14:paraId="5B542E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D2B1A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DBF2A9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D1BF36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5ED9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19" w:type="dxa"/>
            <w:vMerge w:val="continue"/>
            <w:vAlign w:val="top"/>
          </w:tcPr>
          <w:p w14:paraId="6F0742D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56828D34">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人工智能AI肺小结节分析软包括独立分析工作站</w:t>
            </w:r>
          </w:p>
        </w:tc>
        <w:tc>
          <w:tcPr>
            <w:tcW w:w="5593" w:type="dxa"/>
            <w:vAlign w:val="top"/>
          </w:tcPr>
          <w:p w14:paraId="128D405C">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结节检测灵敏度≥3mm</w:t>
            </w:r>
          </w:p>
          <w:p w14:paraId="23BB71F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◇支持多模态影像分析</w:t>
            </w:r>
          </w:p>
        </w:tc>
        <w:tc>
          <w:tcPr>
            <w:tcW w:w="658" w:type="dxa"/>
            <w:vAlign w:val="top"/>
          </w:tcPr>
          <w:p w14:paraId="039AF20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43B88B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D9818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ECE4AA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23D89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1B282B6">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3C6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48ECB37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vertAlign w:val="baseline"/>
                <w:lang w:val="en-US" w:eastAsia="zh-CN"/>
              </w:rPr>
            </w:pPr>
          </w:p>
        </w:tc>
        <w:tc>
          <w:tcPr>
            <w:tcW w:w="1654" w:type="dxa"/>
            <w:vAlign w:val="top"/>
          </w:tcPr>
          <w:p w14:paraId="3DB7562B">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三方X射线骨密度分析软件</w:t>
            </w:r>
          </w:p>
        </w:tc>
        <w:tc>
          <w:tcPr>
            <w:tcW w:w="5593" w:type="dxa"/>
            <w:vAlign w:val="top"/>
          </w:tcPr>
          <w:p w14:paraId="49616AB7">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支持腰椎/髋关节BMD测量</w:t>
            </w:r>
          </w:p>
        </w:tc>
        <w:tc>
          <w:tcPr>
            <w:tcW w:w="658" w:type="dxa"/>
            <w:vAlign w:val="top"/>
          </w:tcPr>
          <w:p w14:paraId="7A0B7A4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43CE72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A7E92E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608FF9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2986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restart"/>
            <w:vAlign w:val="top"/>
          </w:tcPr>
          <w:p w14:paraId="10D0691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17A433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B053F5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18140E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41FD12D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C906C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B890FC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F4E15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1CB57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F4145B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23316A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DC19F6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64BEFF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4470BA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双板</w:t>
            </w:r>
          </w:p>
          <w:p w14:paraId="6D741E1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60996CD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183731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A51CA9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63E9652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22B35B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3E32F40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CAFB07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A19893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2CAB21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0E7CE4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0C305DC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271647B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6E1670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B9AEBF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悬吊双板DR</w:t>
            </w:r>
          </w:p>
        </w:tc>
        <w:tc>
          <w:tcPr>
            <w:tcW w:w="5593" w:type="dxa"/>
            <w:vAlign w:val="top"/>
          </w:tcPr>
          <w:p w14:paraId="16B1CDFC">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★1.高压发生器功率≥80KW</w:t>
            </w:r>
          </w:p>
          <w:p w14:paraId="4D3F461D">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2.最大管电流（最大输出毫安秒）≥800mAs</w:t>
            </w:r>
          </w:p>
          <w:p w14:paraId="1B2DC9AF">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3.球管阳极热容量≥350KHU</w:t>
            </w:r>
          </w:p>
          <w:p w14:paraId="74FB0E0E">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★4.球管（套）垂直轴旋转角度≥-135度/+180度</w:t>
            </w:r>
          </w:p>
          <w:p w14:paraId="1E73BAA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5.球管（套）可沿水平轴旋转≥120度</w:t>
            </w:r>
          </w:p>
          <w:p w14:paraId="01FA5DEE">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▲6.备平板探测器2个，尺寸≥42.5cm*42.5cm（至少1个无线平板）</w:t>
            </w:r>
          </w:p>
          <w:p w14:paraId="5EFF6132">
            <w:pPr>
              <w:keepNext w:val="0"/>
              <w:keepLines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r>
              <w:rPr>
                <w:rFonts w:hint="eastAsia" w:ascii="宋体" w:hAnsi="宋体" w:eastAsia="宋体" w:cs="宋体"/>
                <w:b w:val="0"/>
                <w:bCs w:val="0"/>
                <w:color w:val="auto"/>
                <w:sz w:val="21"/>
                <w:szCs w:val="21"/>
                <w:highlight w:val="none"/>
                <w:vertAlign w:val="baseline"/>
                <w:lang w:val="en-US" w:eastAsia="zh-CN"/>
              </w:rPr>
              <w:t>具备原厂自动长骨拼接或一次性全脊柱成像功能</w:t>
            </w:r>
          </w:p>
          <w:p w14:paraId="332BE1D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、支持智能摆位功能(包括SID调整，球管高度和角度调整，探测器高度，光野大小调整</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临床摆位应用)</w:t>
            </w:r>
          </w:p>
          <w:p w14:paraId="569CD1B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、球管侧具备摄像头装置，支持在采集工作站上实时显示患者摆位的实时视频画面</w:t>
            </w:r>
          </w:p>
          <w:p w14:paraId="12C469B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 投标人负责全面承担以下事务：本项目设备机房防护及机房所有关联的环评、卫评、计量检测等事务，承担本项目相关的检测、监测并确保通过；且须全面协助采购单位取得放射诊疗许可证、辐射安全许可证。</w:t>
            </w:r>
          </w:p>
        </w:tc>
        <w:tc>
          <w:tcPr>
            <w:tcW w:w="658" w:type="dxa"/>
            <w:vAlign w:val="top"/>
          </w:tcPr>
          <w:p w14:paraId="48CF4B4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BCE970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5D4041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21A0A5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5171F1A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7083748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7C89C4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7E33B3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0C466D4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1BBE43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63CBA2F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208765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2AE0C1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244BC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288828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41AC78D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63E1EB9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3856039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586BF1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p>
          <w:p w14:paraId="1C828E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1FE5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19" w:type="dxa"/>
            <w:vMerge w:val="continue"/>
            <w:vAlign w:val="top"/>
          </w:tcPr>
          <w:p w14:paraId="6ABF157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05ECF2C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p w14:paraId="5523303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端口</w:t>
            </w:r>
          </w:p>
        </w:tc>
        <w:tc>
          <w:tcPr>
            <w:tcW w:w="5593" w:type="dxa"/>
            <w:vAlign w:val="top"/>
          </w:tcPr>
          <w:p w14:paraId="40A005E7">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开放无密码维修端口预留PACS系统接口</w:t>
            </w: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须与采购单位医院的LIS、HIS、RIS、PACS信息无缝衔接及互联互通</w:t>
            </w:r>
          </w:p>
        </w:tc>
        <w:tc>
          <w:tcPr>
            <w:tcW w:w="658" w:type="dxa"/>
            <w:vAlign w:val="top"/>
          </w:tcPr>
          <w:p w14:paraId="76EF5DBB">
            <w:pPr>
              <w:keepNext w:val="0"/>
              <w:keepLines w:val="0"/>
              <w:suppressLineNumbers w:val="0"/>
              <w:spacing w:before="0" w:beforeAutospacing="0" w:after="0" w:afterAutospacing="0" w:line="240" w:lineRule="auto"/>
              <w:ind w:left="0" w:right="0" w:firstLine="210" w:firstLineChars="100"/>
              <w:jc w:val="both"/>
              <w:rPr>
                <w:rFonts w:hint="eastAsia" w:ascii="宋体" w:hAnsi="宋体" w:eastAsia="宋体" w:cs="宋体"/>
                <w:b w:val="0"/>
                <w:bCs w:val="0"/>
                <w:color w:val="auto"/>
                <w:sz w:val="21"/>
                <w:szCs w:val="21"/>
                <w:highlight w:val="none"/>
                <w:vertAlign w:val="baseline"/>
                <w:lang w:val="en-US" w:eastAsia="zh-CN"/>
              </w:rPr>
            </w:pPr>
          </w:p>
          <w:p w14:paraId="500ED152">
            <w:pPr>
              <w:keepNext w:val="0"/>
              <w:keepLines w:val="0"/>
              <w:suppressLineNumbers w:val="0"/>
              <w:spacing w:before="0" w:beforeAutospacing="0" w:after="0" w:afterAutospacing="0" w:line="240" w:lineRule="auto"/>
              <w:ind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5E9F37E9">
            <w:pPr>
              <w:keepNext w:val="0"/>
              <w:keepLines w:val="0"/>
              <w:suppressLineNumbers w:val="0"/>
              <w:spacing w:before="0" w:beforeAutospacing="0" w:after="0" w:afterAutospacing="0" w:line="240" w:lineRule="auto"/>
              <w:ind w:left="0" w:right="0" w:firstLine="210" w:firstLineChars="100"/>
              <w:jc w:val="both"/>
              <w:rPr>
                <w:rFonts w:hint="eastAsia" w:ascii="宋体" w:hAnsi="宋体" w:eastAsia="宋体" w:cs="宋体"/>
                <w:b w:val="0"/>
                <w:bCs w:val="0"/>
                <w:color w:val="auto"/>
                <w:sz w:val="21"/>
                <w:szCs w:val="21"/>
                <w:highlight w:val="none"/>
                <w:vertAlign w:val="baseline"/>
                <w:lang w:val="en-US" w:eastAsia="zh-CN"/>
              </w:rPr>
            </w:pPr>
          </w:p>
          <w:p w14:paraId="2A38658A">
            <w:pPr>
              <w:keepNext w:val="0"/>
              <w:keepLines w:val="0"/>
              <w:suppressLineNumbers w:val="0"/>
              <w:spacing w:before="0" w:beforeAutospacing="0" w:after="0" w:afterAutospacing="0" w:line="240" w:lineRule="auto"/>
              <w:ind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项</w:t>
            </w:r>
          </w:p>
        </w:tc>
      </w:tr>
      <w:tr w14:paraId="49AE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4F09A37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0272432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铅衣</w:t>
            </w:r>
          </w:p>
        </w:tc>
        <w:tc>
          <w:tcPr>
            <w:tcW w:w="5593" w:type="dxa"/>
            <w:vAlign w:val="top"/>
          </w:tcPr>
          <w:p w14:paraId="44C56A19">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698949E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1B3461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6860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718596E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192C1E86">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铅围脖</w:t>
            </w:r>
          </w:p>
        </w:tc>
        <w:tc>
          <w:tcPr>
            <w:tcW w:w="5593" w:type="dxa"/>
            <w:vAlign w:val="top"/>
          </w:tcPr>
          <w:p w14:paraId="7FC6E2EF">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648758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2A7E23F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2ED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16F0217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10A94BDB">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铅帽</w:t>
            </w:r>
          </w:p>
        </w:tc>
        <w:tc>
          <w:tcPr>
            <w:tcW w:w="5593" w:type="dxa"/>
            <w:vAlign w:val="top"/>
          </w:tcPr>
          <w:p w14:paraId="5466309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6AA03C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35871DE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226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24CAB8A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482ACC4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铅方巾</w:t>
            </w:r>
          </w:p>
        </w:tc>
        <w:tc>
          <w:tcPr>
            <w:tcW w:w="5593" w:type="dxa"/>
            <w:vAlign w:val="top"/>
          </w:tcPr>
          <w:p w14:paraId="7E0A3F3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66D94BE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0623B61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10B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04DDA1B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0CBC9F08">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铅眼镜</w:t>
            </w:r>
          </w:p>
        </w:tc>
        <w:tc>
          <w:tcPr>
            <w:tcW w:w="5593" w:type="dxa"/>
            <w:vAlign w:val="top"/>
          </w:tcPr>
          <w:p w14:paraId="233C84F6">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铅当量≥0.5mmPb，轻量化设计，符合医用防护标准</w:t>
            </w:r>
          </w:p>
        </w:tc>
        <w:tc>
          <w:tcPr>
            <w:tcW w:w="658" w:type="dxa"/>
            <w:vAlign w:val="top"/>
          </w:tcPr>
          <w:p w14:paraId="10F0F2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3D1D449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3925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2B1B18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7AE907AA">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铅衣架</w:t>
            </w:r>
          </w:p>
        </w:tc>
        <w:tc>
          <w:tcPr>
            <w:tcW w:w="5593" w:type="dxa"/>
            <w:vAlign w:val="top"/>
          </w:tcPr>
          <w:p w14:paraId="7FAE2CB1">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适合铅衣悬挂，不变形。</w:t>
            </w:r>
          </w:p>
        </w:tc>
        <w:tc>
          <w:tcPr>
            <w:tcW w:w="658" w:type="dxa"/>
            <w:vAlign w:val="top"/>
          </w:tcPr>
          <w:p w14:paraId="48E375C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659" w:type="dxa"/>
            <w:vAlign w:val="top"/>
          </w:tcPr>
          <w:p w14:paraId="0F3F122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r>
      <w:tr w14:paraId="363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top"/>
          </w:tcPr>
          <w:p w14:paraId="32818F4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61E1B418">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辐射检测仪</w:t>
            </w:r>
          </w:p>
        </w:tc>
        <w:tc>
          <w:tcPr>
            <w:tcW w:w="5593" w:type="dxa"/>
            <w:vAlign w:val="top"/>
          </w:tcPr>
          <w:p w14:paraId="6862514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可检测α/β/y射线，量程0.01μSv/h-10mSv/h，带数据存储功能</w:t>
            </w:r>
          </w:p>
        </w:tc>
        <w:tc>
          <w:tcPr>
            <w:tcW w:w="658" w:type="dxa"/>
            <w:vAlign w:val="top"/>
          </w:tcPr>
          <w:p w14:paraId="5905D4A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7CCF2EF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r w14:paraId="27D9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19" w:type="dxa"/>
            <w:vMerge w:val="continue"/>
            <w:vAlign w:val="top"/>
          </w:tcPr>
          <w:p w14:paraId="1D3E1FFD">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vertAlign w:val="baseline"/>
                <w:lang w:val="en-US" w:eastAsia="zh-CN"/>
              </w:rPr>
            </w:pPr>
          </w:p>
        </w:tc>
        <w:tc>
          <w:tcPr>
            <w:tcW w:w="1654" w:type="dxa"/>
            <w:vAlign w:val="top"/>
          </w:tcPr>
          <w:p w14:paraId="2B4C631D">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ar"/>
              </w:rPr>
              <w:t>剂量报警仪</w:t>
            </w:r>
          </w:p>
        </w:tc>
        <w:tc>
          <w:tcPr>
            <w:tcW w:w="5593" w:type="dxa"/>
            <w:vAlign w:val="top"/>
          </w:tcPr>
          <w:p w14:paraId="7EFC9F2E">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w:t>
            </w:r>
            <w:r>
              <w:rPr>
                <w:rFonts w:hint="eastAsia" w:ascii="宋体" w:hAnsi="宋体" w:eastAsia="宋体" w:cs="宋体"/>
                <w:b w:val="0"/>
                <w:bCs w:val="0"/>
                <w:color w:val="auto"/>
                <w:sz w:val="21"/>
                <w:szCs w:val="21"/>
                <w:highlight w:val="none"/>
                <w:vertAlign w:val="baseline"/>
                <w:lang w:val="en-US" w:eastAsia="zh-CN"/>
              </w:rPr>
              <w:t>实时监测累积剂量，阈值报警。</w:t>
            </w:r>
          </w:p>
        </w:tc>
        <w:tc>
          <w:tcPr>
            <w:tcW w:w="658" w:type="dxa"/>
            <w:vAlign w:val="top"/>
          </w:tcPr>
          <w:p w14:paraId="70B296E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9" w:type="dxa"/>
            <w:vAlign w:val="top"/>
          </w:tcPr>
          <w:p w14:paraId="2D86497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r>
    </w:tbl>
    <w:p w14:paraId="07EB65AE">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技术参数的说明：《采购清单及技术参数要求》中如下： </w:t>
      </w:r>
    </w:p>
    <w:p w14:paraId="156BB70E">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1、标注“★”号标记的技术参数为实质性技术参数，有任意一项未提供证明材料的或者证明材料不满足技术参数要求的，将视为无效响应，按无效投标处理。</w:t>
      </w:r>
    </w:p>
    <w:p w14:paraId="7B5D276F">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2、标注“▲”号标记的技术参数为重要技术参数。</w:t>
      </w:r>
    </w:p>
    <w:p w14:paraId="3B82D1D1">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bookmarkStart w:id="5" w:name="OLE_LINK9"/>
      <w:r>
        <w:rPr>
          <w:rFonts w:hint="eastAsia" w:ascii="宋体" w:hAnsi="宋体" w:eastAsia="宋体" w:cs="宋体"/>
          <w:b w:val="0"/>
          <w:bCs w:val="0"/>
          <w:color w:val="auto"/>
          <w:kern w:val="2"/>
          <w:sz w:val="24"/>
          <w:szCs w:val="24"/>
          <w:highlight w:val="none"/>
          <w:lang w:val="en-US" w:eastAsia="zh-CN" w:bidi="ar-SA"/>
        </w:rPr>
        <w:t>标注“</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kern w:val="2"/>
          <w:sz w:val="24"/>
          <w:szCs w:val="24"/>
          <w:highlight w:val="none"/>
          <w:lang w:val="en-US" w:eastAsia="zh-CN" w:bidi="ar-SA"/>
        </w:rPr>
        <w:t>”号标记的技术参数为一般技术参数</w:t>
      </w:r>
      <w:bookmarkEnd w:id="5"/>
      <w:r>
        <w:rPr>
          <w:rFonts w:hint="eastAsia" w:ascii="宋体" w:hAnsi="宋体" w:eastAsia="宋体" w:cs="宋体"/>
          <w:b w:val="0"/>
          <w:bCs w:val="0"/>
          <w:color w:val="auto"/>
          <w:kern w:val="2"/>
          <w:sz w:val="24"/>
          <w:szCs w:val="24"/>
          <w:highlight w:val="none"/>
          <w:lang w:val="en-US" w:eastAsia="zh-CN" w:bidi="ar-SA"/>
        </w:rPr>
        <w:t>。</w:t>
      </w:r>
    </w:p>
    <w:p w14:paraId="179B1324">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备注：技术参数响应要求</w:t>
      </w:r>
    </w:p>
    <w:p w14:paraId="68354FC0">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（1）标注“▲”号标记的技术参数和标注“</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kern w:val="2"/>
          <w:sz w:val="24"/>
          <w:szCs w:val="24"/>
          <w:highlight w:val="none"/>
          <w:lang w:val="en-US" w:eastAsia="zh-CN" w:bidi="ar-SA"/>
        </w:rPr>
        <w:t>”号标记的技术参数的一般技术参数，投标人需详尽真实的在《技术要求响应及偏离表》内逐条响应，且均需在《技术要求响应及偏离表》内详尽真实的列明“超出、符合或偏离”情况，否则将视为未响应或无效响应；</w:t>
      </w:r>
    </w:p>
    <w:p w14:paraId="41F87063">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标注“★”号标记的技术参数和标注“▲”号标记的技术参数均须提供证明材料，其证明材料可以是第三方检测报告，或技术白皮书或公开发行产品彩页或注明链接的官网截图或现场实物图片等文件的原件扫描件。</w:t>
      </w:r>
    </w:p>
    <w:p w14:paraId="6753028F">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（3）《技术要求响应及偏离表》格式详见投标文件格式附件7。</w:t>
      </w:r>
    </w:p>
    <w:p w14:paraId="09C5B770">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4、投标人须提供所投标的产品品牌、型号、规格、产地等，须按照招标文件中投标文件格式要求填写完整。在投标文件中必须标明所投产品的品牌、型号，否则作无效投标处理。</w:t>
      </w:r>
    </w:p>
    <w:p w14:paraId="7C11C1E9">
      <w:pPr>
        <w:pStyle w:val="7"/>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产品要求</w:t>
      </w:r>
    </w:p>
    <w:p w14:paraId="2C5A6B9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1.采购单位本次采购设备为3.0T核磁共振壹套；64排128层CT壹套；悬吊双板DR壹套。</w:t>
      </w:r>
    </w:p>
    <w:p w14:paraId="4B0FC80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2.设备保修期要求为整机保修，各投标单位在投标时需提供所投产品的质保函。</w:t>
      </w:r>
    </w:p>
    <w:p w14:paraId="7717FCF3">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、项目要求</w:t>
      </w:r>
    </w:p>
    <w:p w14:paraId="5B8FEB9B">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（一）供货要求</w:t>
      </w:r>
    </w:p>
    <w:p w14:paraId="740FC669">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中标人应提供合格货物，保证货物为全新、未使用的原厂原装正品，货物上均有合格证，包括品牌的有关标志。</w:t>
      </w:r>
    </w:p>
    <w:p w14:paraId="74E5FA93">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（二）质量保证</w:t>
      </w:r>
    </w:p>
    <w:p w14:paraId="727D5B05">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保证提供的货物经过正确安装、正常使用和保养条件下，在其使用寿命内应具有满意的性能。货物最终验收后，在售后服务期内，投标人应对由于设计、工艺或材料的缺陷以及其他由于生产厂家或投标人的原因而发生的任何不足或故障负责，费用由投标人负担。</w:t>
      </w:r>
    </w:p>
    <w:p w14:paraId="28B90577">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（2）根据当地法定检验机构的检验结果或者在售后服务期内，如果货物的质量或规格型号与合同不符，或证明货物是有缺陷的，包括潜在的缺陷或使用不符合要求的材料等，采购人有权向投标人发出索赔通知。</w:t>
      </w:r>
    </w:p>
    <w:p w14:paraId="50AEB555">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（3）投标人在收到通知后，应在合同所附服务承诺约定的时间内维修、更换有缺陷的货物或部件。</w:t>
      </w:r>
    </w:p>
    <w:p w14:paraId="1051E847">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bCs/>
          <w:iCs/>
          <w:color w:val="auto"/>
          <w:sz w:val="24"/>
          <w:szCs w:val="24"/>
          <w:highlight w:val="none"/>
        </w:rPr>
      </w:pPr>
      <w:r>
        <w:rPr>
          <w:rFonts w:hint="eastAsia" w:ascii="宋体" w:hAnsi="宋体" w:eastAsia="宋体" w:cs="宋体"/>
          <w:color w:val="auto"/>
          <w:sz w:val="24"/>
          <w:szCs w:val="24"/>
          <w:highlight w:val="none"/>
        </w:rPr>
        <w:t>（4）如果投标人在收到通知后，在合同所附服务承诺约定的时间内没有弥补缺陷，采购人可采取必要的补救措施，但风险和费用将由投标人承担。</w:t>
      </w:r>
    </w:p>
    <w:p w14:paraId="5219CA51">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（三）货物的包装、发运及运输</w:t>
      </w:r>
    </w:p>
    <w:p w14:paraId="7BF81621">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在货物发运前对其进行满足运输距离、防潮、防震、防锈和防破损装卸等要求包装，以保证货物安全运达采购人指定地点。投标人对货物的包装应符合《商品包装政府采购需求标准（试行）》、《快递包装政府采购需求标准（试行）》的规定。</w:t>
      </w:r>
    </w:p>
    <w:p w14:paraId="009B0588">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0A8A02DE">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（3）投标人在货物发运手续办理完毕后24小时内或货到采购人48小时前通知采购人，以准备接货。</w:t>
      </w:r>
    </w:p>
    <w:p w14:paraId="5E199D58">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（4）货物在交付采购人前发生的风险均由投标人负责。</w:t>
      </w:r>
    </w:p>
    <w:p w14:paraId="1A723311">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（6）货物在规定的交付期限内由投标人送达采购人指定的地点视为交付，投标人同时需通知采购人货物已送达。</w:t>
      </w:r>
    </w:p>
    <w:p w14:paraId="7E2D59EE">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（四）验收</w:t>
      </w:r>
    </w:p>
    <w:p w14:paraId="1F56B312">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（1）验收要求</w:t>
      </w:r>
    </w:p>
    <w:p w14:paraId="64B10668">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（1.1）验收时间：设备安装调试经采购人临床试用并达到验收标准后，采购人根据合同约定组织验收。</w:t>
      </w:r>
    </w:p>
    <w:p w14:paraId="509FC531">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验收内容：包括设备品牌、型号、规格、数量是否符合合同规定，外观质量、产品包装是否完好、安装调试是否合格，所提供设备装箱清单、操作说明、维修手册、电路图本、电气说明书、包括外构件的详细资料、原厂维保卡等是否齐全。</w:t>
      </w:r>
    </w:p>
    <w:p w14:paraId="102C9CEB">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成立验收小组，按照采购合同的约定对中标人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1B9ABF7D">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13B90879">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（1.5）若因中标人原因造成无法验收通过的，采购人将拒绝付款，并追究中标人的违约责任。</w:t>
      </w:r>
    </w:p>
    <w:p w14:paraId="709D9F6C">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w:t>
      </w:r>
    </w:p>
    <w:p w14:paraId="0252DDCD">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按照招标文件、投标文件及相关标准实施。有国家标准的应符合国家标准，无国家标准的应符合行业标准、地方标准或者其他标准、规范，并满足招标文件要求，同时服从采购人安排要求。</w:t>
      </w:r>
    </w:p>
    <w:p w14:paraId="7CF3775E">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（五）节能、环保产品政策</w:t>
      </w:r>
    </w:p>
    <w:p w14:paraId="64F9D949">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财库〔2019〕9号、财库〔2019〕19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42794F44">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（六）商品包装、快递包装政府采购需求标准</w:t>
      </w:r>
    </w:p>
    <w:p w14:paraId="6567A023">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0D3D85DD">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（七）采购本国货物、工程和服务</w:t>
      </w:r>
    </w:p>
    <w:p w14:paraId="0C22DF6B">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566A65BA">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、项目实施要求</w:t>
      </w:r>
    </w:p>
    <w:p w14:paraId="7B5FF14A">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Style w:val="13"/>
          <w:rFonts w:hint="eastAsia" w:ascii="宋体" w:hAnsi="宋体" w:eastAsia="宋体" w:cs="宋体"/>
          <w:color w:val="auto"/>
          <w:sz w:val="24"/>
          <w:szCs w:val="24"/>
          <w:highlight w:val="none"/>
          <w:lang w:bidi="ar"/>
        </w:rPr>
        <w:t>投标人针对针对本项目提供详细的</w:t>
      </w:r>
      <w:r>
        <w:rPr>
          <w:rFonts w:hint="eastAsia" w:ascii="宋体" w:hAnsi="宋体" w:eastAsia="宋体" w:cs="宋体"/>
          <w:color w:val="auto"/>
          <w:sz w:val="24"/>
          <w:szCs w:val="24"/>
          <w:highlight w:val="none"/>
        </w:rPr>
        <w:t>项目实施方案，内容包括但不限于：质量保证</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、工期管理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、风险预防及控制措施、突发应急事件处置方案</w:t>
      </w:r>
      <w:r>
        <w:rPr>
          <w:rFonts w:hint="eastAsia" w:ascii="宋体" w:hAnsi="宋体" w:eastAsia="宋体" w:cs="宋体"/>
          <w:color w:val="auto"/>
          <w:sz w:val="24"/>
          <w:szCs w:val="24"/>
          <w:highlight w:val="none"/>
          <w:lang w:eastAsia="zh-CN"/>
        </w:rPr>
        <w:t>、培训及技术支持</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等。</w:t>
      </w:r>
    </w:p>
    <w:p w14:paraId="3C5803F8">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（一）质量保证要求</w:t>
      </w:r>
    </w:p>
    <w:p w14:paraId="77B8F1C1">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投标人针对本项目提供详细的质量保证</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，内容包括但不限于：</w:t>
      </w:r>
    </w:p>
    <w:p w14:paraId="3D87982A">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（1）详细的产品生产质量管理计划，计划应包含生产车间安全管理、质量控制措施、出厂检验标准以及测试程序等。</w:t>
      </w:r>
    </w:p>
    <w:p w14:paraId="41E6C9DF">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（2）在制造过程中，制造商应严格遵循相关的技术规范和工艺流程，确保每个制造环节都符合质量控制要求。严格的质量控制：对每个生产环节进行质量检查和控制，确保每个环节都符合质量标准等。</w:t>
      </w:r>
    </w:p>
    <w:p w14:paraId="59264383">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二）工期管理要求</w:t>
      </w:r>
    </w:p>
    <w:p w14:paraId="2BF36A92">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投标人针对本项目提供详细工期管理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，有明确的时间节点和进度安排，展示项目各阶段的起止时间、关键过程等，内容包括但不限于：</w:t>
      </w:r>
    </w:p>
    <w:p w14:paraId="318724E0">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实际需求，确定本项目采购产品的数量、设定时间节点，如项目启动日期、预计生产日期、出厂日期、交货日期、安装及调试时间规划、试运行时间安排、使用图或表等工具，实时跟踪项目进度，确保各阶段按计划进行等。同时投标人应提前考虑并做好风险预防、应对措施，以确保按期、保质保量的将本项目采购的所有产品在采购人要求的供货时间内送至采购人指定地点等。</w:t>
      </w:r>
    </w:p>
    <w:p w14:paraId="43CA8117">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货物的包装应符合《商品包装政府采购需求标准（试行）》、《快递包装政府采购需求标准（试行）》的规定；货物运输中可能存在的风险及风险预防、应对措施，以确保按期、保质的将本项目采购的所有产品运输至采购人指定的交货地点交付货物等。</w:t>
      </w:r>
    </w:p>
    <w:p w14:paraId="3095B5D1">
      <w:pPr>
        <w:pStyle w:val="2"/>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（3）配送要求：</w:t>
      </w:r>
    </w:p>
    <w:p w14:paraId="10B8BB04">
      <w:pPr>
        <w:pStyle w:val="2"/>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3.1中标人在产品出厂前，应提供明细的产品清单交由采购人进行确认，包含产品名称、详细规格、材质等内容，由采购人确认后，方可进行供货；</w:t>
      </w:r>
    </w:p>
    <w:p w14:paraId="3B2F35C1">
      <w:pPr>
        <w:pStyle w:val="2"/>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3.2产品必需是正规厂家新品，不得以次充好；</w:t>
      </w:r>
    </w:p>
    <w:p w14:paraId="7ABBE1F5">
      <w:pPr>
        <w:pStyle w:val="2"/>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3.3中标人负责货物的包装、保险、运输至采购人指定的交货地点。零散及易损件需用木箱包装，确保防盗、防震、防潮、防破损、运输方式确定，并且由于运输造成的设备损坏、丢失均由中标人负责处理；</w:t>
      </w:r>
    </w:p>
    <w:p w14:paraId="72E4E3E9">
      <w:pPr>
        <w:keepNext w:val="0"/>
        <w:keepLines w:val="0"/>
        <w:pageBreakBefore w:val="0"/>
        <w:widowControl w:val="0"/>
        <w:shd w:val="clear" w:color="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3.4中标人负责货物装卸车、就位、组装、调试等工作，保证交给采购人货物的完好性。</w:t>
      </w:r>
    </w:p>
    <w:p w14:paraId="3260B661">
      <w:pPr>
        <w:shd w:val="clear" w:color="auto"/>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（4）安装及调试方案</w:t>
      </w:r>
    </w:p>
    <w:p w14:paraId="3306674D">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4.1安装的步骤、方法、调试、测试、检测等；</w:t>
      </w:r>
    </w:p>
    <w:p w14:paraId="5BDE0BFE">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4.2人员的职责架构及分工、项目管理运行机制等；</w:t>
      </w:r>
    </w:p>
    <w:p w14:paraId="3AF0D227">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4.3安装调试保障措施，如安装调试过程中可能存在的风险，投标人应提前考虑并做好风险预防、应对措施，以确保按期、保质保量的将本项目采购的产品安装调试完毕并运行正常等；</w:t>
      </w:r>
    </w:p>
    <w:p w14:paraId="1BF82965">
      <w:pPr>
        <w:pStyle w:val="2"/>
        <w:shd w:val="clear" w:color="auto"/>
        <w:ind w:firstLine="48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4.4安全及环境保护要求：加强安全管理，对现场安全负完全责任；负责送货、安装、调试现场安全管理、环境保护管理，项目实施过程中产生的包装等废弃垃圾搬运至采购人指定地点并清扫现场；</w:t>
      </w:r>
    </w:p>
    <w:p w14:paraId="5D4BE20C">
      <w:pPr>
        <w:pStyle w:val="2"/>
        <w:shd w:val="clear" w:color="auto"/>
        <w:ind w:firstLine="48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4.5现场管理要求：描述现场管理策略，包括安全生产措施、环境保护措施以及日常现场管理流程等，以及现场安装人员管理要求，进院施工的人员必须严格遵守院方规章制度，自觉接受检查，无证人员一律不得进入安装现场，在规定的区域施工，未经批准不得进入其他区域。</w:t>
      </w:r>
    </w:p>
    <w:p w14:paraId="709D024F">
      <w:pPr>
        <w:shd w:val="clear" w:color="auto"/>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风险预防及控制措施</w:t>
      </w:r>
      <w:r>
        <w:rPr>
          <w:rFonts w:hint="eastAsia" w:ascii="宋体" w:hAnsi="宋体" w:eastAsia="宋体" w:cs="宋体"/>
          <w:b/>
          <w:bCs/>
          <w:color w:val="auto"/>
          <w:sz w:val="24"/>
          <w:szCs w:val="24"/>
          <w:highlight w:val="none"/>
          <w:lang w:val="en-US" w:eastAsia="zh-CN"/>
        </w:rPr>
        <w:t>要求</w:t>
      </w:r>
    </w:p>
    <w:p w14:paraId="538624EB">
      <w:p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投标人针对本项目提供详细的风险预防及控制措施，包括但不限于：</w:t>
      </w:r>
    </w:p>
    <w:p w14:paraId="3B3F7359">
      <w:pPr>
        <w:numPr>
          <w:ilvl w:val="0"/>
          <w:numId w:val="2"/>
        </w:num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风险管理政策和流程：明确全面的风险管理政策，并建立相应的流程和程序，确保风险管理的有效实施和监控。</w:t>
      </w:r>
    </w:p>
    <w:p w14:paraId="25904FB8">
      <w:pPr>
        <w:numPr>
          <w:ilvl w:val="0"/>
          <w:numId w:val="2"/>
        </w:num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风险评估和分析：进行风险评估和分析，确定潜在风险的影响程度和概率，并制定相应的应对措施。</w:t>
      </w:r>
    </w:p>
    <w:p w14:paraId="4A237D1F">
      <w:pPr>
        <w:numPr>
          <w:ilvl w:val="0"/>
          <w:numId w:val="2"/>
        </w:num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内部控制制度：建立完善的内部控制制度，包括风险管理、内部审计、合规性监督等。</w:t>
      </w:r>
    </w:p>
    <w:p w14:paraId="36B4C068">
      <w:p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（4）风险预警机制：建立风险预警机制，及时发现和预测潜在风险，并采取相应的措施进行应对。 </w:t>
      </w:r>
    </w:p>
    <w:p w14:paraId="73DEBEB8">
      <w:pPr>
        <w:shd w:val="clear" w:color="auto"/>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（5）信息安全控制：加强信息安全控制，包括数据备份、密码保护、网络安全等，防止信息泄露。</w:t>
      </w:r>
    </w:p>
    <w:p w14:paraId="5BD3E199">
      <w:pPr>
        <w:shd w:val="clear" w:color="auto"/>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（6）培训和教育：为员工提供相关风险管理知识和技能的培训和教育，提升他们对风险的认识和应对能力。</w:t>
      </w:r>
      <w:r>
        <w:rPr>
          <w:rFonts w:hint="eastAsia" w:ascii="宋体" w:hAnsi="宋体" w:eastAsia="宋体" w:cs="宋体"/>
          <w:b/>
          <w:bCs/>
          <w:color w:val="auto"/>
          <w:sz w:val="24"/>
          <w:szCs w:val="24"/>
          <w:highlight w:val="none"/>
        </w:rPr>
        <w:t xml:space="preserve"> </w:t>
      </w:r>
    </w:p>
    <w:p w14:paraId="4EC64C51">
      <w:p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（7）紧急应对计划：制定紧急应对计划，以应对突发事件可能带来的风险。</w:t>
      </w:r>
    </w:p>
    <w:p w14:paraId="65E1E400">
      <w:pPr>
        <w:shd w:val="clear" w:color="auto"/>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突发应急事件处置</w:t>
      </w:r>
      <w:r>
        <w:rPr>
          <w:rFonts w:hint="eastAsia" w:ascii="宋体" w:hAnsi="宋体" w:eastAsia="宋体" w:cs="宋体"/>
          <w:b/>
          <w:bCs/>
          <w:color w:val="auto"/>
          <w:sz w:val="24"/>
          <w:szCs w:val="24"/>
          <w:highlight w:val="none"/>
          <w:lang w:val="en-US" w:eastAsia="zh-CN"/>
        </w:rPr>
        <w:t>要求</w:t>
      </w:r>
    </w:p>
    <w:p w14:paraId="1A3713A8">
      <w:pPr>
        <w:shd w:val="clear" w:color="auto"/>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投标人针对本项目提供详细的突发应急事件处置方案，包括但不限于：</w:t>
      </w:r>
    </w:p>
    <w:p w14:paraId="245C1B81">
      <w:pPr>
        <w:numPr>
          <w:ilvl w:val="0"/>
          <w:numId w:val="3"/>
        </w:numPr>
        <w:shd w:val="clear" w:color="auto"/>
        <w:spacing w:line="360" w:lineRule="auto"/>
        <w:ind w:left="4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突发事件应急处理指挥部的组成和相关部门的职责；</w:t>
      </w:r>
    </w:p>
    <w:p w14:paraId="2900AAC0">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（2）突发事件的监测与预警；突发事件信息的收集、分析、报告、通报制度；</w:t>
      </w:r>
    </w:p>
    <w:p w14:paraId="37E0CAF0">
      <w:pPr>
        <w:shd w:val="clear" w:color="auto"/>
        <w:spacing w:line="360" w:lineRule="auto"/>
        <w:ind w:left="4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（3）突发事件应急处理技术和监测机构及其任务；</w:t>
      </w:r>
    </w:p>
    <w:p w14:paraId="54F09806">
      <w:pPr>
        <w:shd w:val="clear" w:color="auto"/>
        <w:spacing w:line="360" w:lineRule="auto"/>
        <w:ind w:left="47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（4）突发事件的分级和应急处理工作方案。</w:t>
      </w:r>
    </w:p>
    <w:p w14:paraId="7AC7A91A">
      <w:pPr>
        <w:shd w:val="clear" w:color="auto"/>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）培训及技术支持</w:t>
      </w:r>
      <w:r>
        <w:rPr>
          <w:rFonts w:hint="eastAsia" w:ascii="宋体" w:hAnsi="宋体" w:eastAsia="宋体" w:cs="宋体"/>
          <w:b/>
          <w:bCs/>
          <w:color w:val="auto"/>
          <w:sz w:val="24"/>
          <w:szCs w:val="24"/>
          <w:highlight w:val="none"/>
          <w:lang w:val="en-US" w:eastAsia="zh-CN"/>
        </w:rPr>
        <w:t>要求</w:t>
      </w:r>
    </w:p>
    <w:p w14:paraId="6EF85CE2">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根据日常运行和维护工作情况，投标人结合用户实际情况，在安装过程中或安装结束后，对采购人工程师和操作人员进行现场维修、保养、操作培训并提供快捷操作指南（塑胶封好，挂在设备上）。</w:t>
      </w:r>
    </w:p>
    <w:p w14:paraId="2591FAF4">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同时投标人需制定适合用户详细、操作性强的培训方案，内容包含但不限于培训目的、培训时间、培训内容、培训对象、培训地点、培训方式及课时安排、培训教材、培训师资等。</w:t>
      </w:r>
    </w:p>
    <w:p w14:paraId="19ABF0F0">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（1）培训目的：通过对用户的培训，使其对设备的使用、操作、维护进行培训，并提供安装使用维护说明书，以确保使用单位能够对设备有足够的了解，能够独立进行日常操作、管理和维护。</w:t>
      </w:r>
    </w:p>
    <w:p w14:paraId="0514331B">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（2）培训时间：投标人完成供货并交付用户使用之日起两周内对用户完成培训。交付使用1个月后投标人须派遣专业技术人员到工作现场，对用户各种技术问题和使用进行现场指导和培训。</w:t>
      </w:r>
    </w:p>
    <w:p w14:paraId="1AE6A17F">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（3）培训内容：包括但不限于安全知识学习、产品具有的功能学习、产品体系架构学习、安装、调试、操作的培训、产品的日常维护学习、产品的故障紧急处理。</w:t>
      </w:r>
    </w:p>
    <w:p w14:paraId="6C9DFFBA">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（4）培训对象：本次采购的产品使用者。</w:t>
      </w:r>
    </w:p>
    <w:p w14:paraId="78DE612F">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（5）培训地点：同交货地点。</w:t>
      </w:r>
    </w:p>
    <w:p w14:paraId="304D6239">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（6）培训方式及课时安排：现场培训或线上培训、至少2课时，每课时至少30分钟。</w:t>
      </w:r>
    </w:p>
    <w:p w14:paraId="6A3C19C2">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（7）培训教材：免费提供培训教材纸质版或电子版（含使用手册）等。</w:t>
      </w:r>
    </w:p>
    <w:p w14:paraId="07B4C576">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（8）培训师资：投标人须委派专业技术人员对用户进行培训。</w:t>
      </w:r>
    </w:p>
    <w:p w14:paraId="3A35004D">
      <w:pPr>
        <w:shd w:val="clear" w:color="auto"/>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、售后服务要求</w:t>
      </w:r>
    </w:p>
    <w:p w14:paraId="5C6DF7D2">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投标人针对本项目提供详细的售后服务方案，内容包含但不限于：</w:t>
      </w:r>
    </w:p>
    <w:p w14:paraId="633900F0">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要求售后服务期：售后服务期内投标人对产品质量实行三包，免费为本项目采购的所有产品提供维修、保养、替换故障部件等服务。此项目要求提供技术支持服务，处理用户出现的各种问题和故障，以保证用户工作的正常运行。应在接到故障通知2小时内作出有效响应，如需现场解决，到达现场时间不超过8小时，特殊情况下不超过24小时内到达现场免费予以排除故障、修复或更换零部件。如3个工作日内不能修复必须提供备用机使用，确保采购人能正常开展工作，设备在设计有用周期内，保证更换到原厂配件。</w:t>
      </w:r>
    </w:p>
    <w:p w14:paraId="2B507B93">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（2）保证设备免费全保期内开机率≥96%，如设备故障停机率超过5%（一年按365天计算，每年18天），每超过一天，维保期延长两周。</w:t>
      </w:r>
    </w:p>
    <w:p w14:paraId="2F271744">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人员配备情况：有固定的CT维修工程师，本项目的保修服务方式均为投标人上门保修，即由投标人派技术人员到采购单位使用现场维修，由此产生的一切费用均由投标人承担。售后人员配备不少于1人，提供售后人员相关信息及提供免费保修电话。</w:t>
      </w:r>
    </w:p>
    <w:p w14:paraId="3EFD98B7">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时间：免费全保期内，应在接到故障通知2小时内作出有效响应，如需现场解决，到达现场时间不超过8小时，特殊情况下不超过24小时内到达现场免费予以排除故障、修复或更换零部件。确保采购人能正常开展工作，设备在设计有用周期内，保证更换到原厂配件。如3个工作日内不能修复必须提供备用机使用，确保采购人能正常开展工作，设备在设计有用周期内，保证更换到原厂配件。</w:t>
      </w:r>
    </w:p>
    <w:p w14:paraId="032784D2">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（5）售后服务期满后，投标人仍有义务提供优惠的技术服务（包括提供设备维护、备件等）。</w:t>
      </w:r>
    </w:p>
    <w:p w14:paraId="74357339">
      <w:pPr>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（6）售后服务期满后主要产品、配件优惠方案：售后服务期结束后，投标人应当提供保修服务，收取费用不得高于其他服务客户的费用。</w:t>
      </w:r>
    </w:p>
    <w:p w14:paraId="24E76EE9">
      <w:pPr>
        <w:spacing w:line="400" w:lineRule="exact"/>
        <w:ind w:firstLine="482"/>
        <w:rPr>
          <w:rFonts w:hint="eastAsia" w:ascii="宋体" w:hAnsi="宋体" w:eastAsia="宋体" w:cs="宋体"/>
          <w:b/>
          <w:color w:val="000000"/>
          <w:sz w:val="24"/>
          <w:szCs w:val="24"/>
          <w:highlight w:val="none"/>
        </w:rPr>
      </w:pPr>
      <w:r>
        <w:rPr>
          <w:rFonts w:hint="eastAsia" w:ascii="宋体" w:hAnsi="宋体" w:eastAsia="宋体" w:cs="宋体"/>
          <w:color w:val="auto"/>
          <w:sz w:val="24"/>
          <w:szCs w:val="24"/>
          <w:highlight w:val="none"/>
        </w:rPr>
        <w:t>（7）投标人未在上述规定时间内履行售后服务义务的，采购人可选择是否委托第三方代为处理，由此产生的费用及损失均由投标人承担。</w:t>
      </w:r>
    </w:p>
    <w:p w14:paraId="571645CD">
      <w:pPr>
        <w:pStyle w:val="14"/>
        <w:spacing w:before="200"/>
        <w:jc w:val="center"/>
        <w:rPr>
          <w:rFonts w:hint="eastAsia" w:ascii="Calibri" w:hAnsi="Calibri" w:eastAsia="宋体" w:cs="Times New Roman"/>
          <w:b/>
          <w:color w:val="000000"/>
          <w:sz w:val="44"/>
          <w:szCs w:val="44"/>
          <w:highlight w:val="none"/>
        </w:rPr>
      </w:pPr>
    </w:p>
    <w:p w14:paraId="289CA6AF">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09FCB"/>
    <w:multiLevelType w:val="singleLevel"/>
    <w:tmpl w:val="28209FCB"/>
    <w:lvl w:ilvl="0" w:tentative="0">
      <w:start w:val="3"/>
      <w:numFmt w:val="chineseCounting"/>
      <w:suff w:val="nothing"/>
      <w:lvlText w:val="%1、"/>
      <w:lvlJc w:val="left"/>
      <w:rPr>
        <w:rFonts w:hint="eastAsia"/>
      </w:rPr>
    </w:lvl>
  </w:abstractNum>
  <w:abstractNum w:abstractNumId="1">
    <w:nsid w:val="2A8F537B"/>
    <w:multiLevelType w:val="multilevel"/>
    <w:tmpl w:val="2A8F537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5A241D34"/>
    <w:multiLevelType w:val="multilevel"/>
    <w:tmpl w:val="5A241D3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470B2"/>
    <w:rsid w:val="5474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outlineLvl w:val="2"/>
    </w:pPr>
    <w:rPr>
      <w:rFonts w:ascii="宋体" w:hAnsi="宋体"/>
      <w:b/>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_19"/>
    <w:next w:val="8"/>
    <w:qFormat/>
    <w:uiPriority w:val="0"/>
    <w:rPr>
      <w:rFonts w:hint="default" w:ascii="黑体" w:hAnsi="黑体" w:eastAsia="黑体" w:cs="黑体"/>
      <w:b/>
      <w:sz w:val="32"/>
      <w:szCs w:val="24"/>
      <w:lang w:val="en-US" w:eastAsia="zh-CN" w:bidi="ar-SA"/>
    </w:rPr>
  </w:style>
  <w:style w:type="paragraph" w:customStyle="1" w:styleId="8">
    <w:name w:val="正文1_0"/>
    <w:basedOn w:val="9"/>
    <w:next w:val="10"/>
    <w:qFormat/>
    <w:uiPriority w:val="0"/>
    <w:pPr>
      <w:widowControl/>
      <w:spacing w:line="360" w:lineRule="auto"/>
      <w:ind w:left="357" w:firstLine="420"/>
      <w:jc w:val="left"/>
    </w:pPr>
    <w:rPr>
      <w:rFonts w:cs="Arial"/>
      <w:szCs w:val="20"/>
    </w:rPr>
  </w:style>
  <w:style w:type="paragraph" w:customStyle="1" w:styleId="9">
    <w:name w:val="正文_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0">
    <w:name w:val="UserStyle_0"/>
    <w:basedOn w:val="11"/>
    <w:qFormat/>
    <w:uiPriority w:val="0"/>
    <w:pPr>
      <w:spacing w:after="120"/>
      <w:ind w:left="420" w:leftChars="200"/>
    </w:pPr>
  </w:style>
  <w:style w:type="paragraph" w:customStyle="1" w:styleId="11">
    <w:name w:val="正文2"/>
    <w:basedOn w:val="1"/>
    <w:next w:val="10"/>
    <w:qFormat/>
    <w:uiPriority w:val="0"/>
    <w:pPr>
      <w:spacing w:before="156" w:line="360" w:lineRule="auto"/>
      <w:ind w:firstLine="510"/>
    </w:pPr>
    <w:rPr>
      <w:sz w:val="24"/>
      <w:szCs w:val="20"/>
    </w:rPr>
  </w:style>
  <w:style w:type="paragraph" w:customStyle="1" w:styleId="12">
    <w:name w:val="正文_2_0_0"/>
    <w:qFormat/>
    <w:uiPriority w:val="0"/>
    <w:pPr>
      <w:widowControl w:val="0"/>
      <w:jc w:val="both"/>
    </w:pPr>
    <w:rPr>
      <w:rFonts w:ascii="Calibri" w:hAnsi="Calibri" w:eastAsia="宋体" w:cs="Times New Roman"/>
      <w:lang w:val="en-US" w:eastAsia="zh-CN" w:bidi="ar-SA"/>
    </w:rPr>
  </w:style>
  <w:style w:type="character" w:customStyle="1" w:styleId="13">
    <w:name w:val="默认段落字体11"/>
    <w:unhideWhenUsed/>
    <w:qFormat/>
    <w:uiPriority w:val="1"/>
    <w:rPr>
      <w:rFonts w:ascii="Times New Roman" w:hAnsi="Times New Roman" w:eastAsia="宋体" w:cs="Times New Roman"/>
      <w:sz w:val="21"/>
      <w:szCs w:val="21"/>
      <w:lang w:val="en-US" w:eastAsia="zh-CN" w:bidi="ar-SA"/>
    </w:rPr>
  </w:style>
  <w:style w:type="paragraph" w:customStyle="1" w:styleId="14">
    <w:name w:val="标题 11"/>
    <w:basedOn w:val="1"/>
    <w:next w:val="1"/>
    <w:qFormat/>
    <w:uiPriority w:val="0"/>
    <w:pPr>
      <w:keepNext/>
      <w:keepLines/>
      <w:spacing w:before="480" w:after="200"/>
      <w:outlineLvl w:val="0"/>
    </w:pPr>
    <w:rPr>
      <w:rFonts w:ascii="Arial" w:hAnsi="Arial" w:eastAsia="Arial" w:cs="Arial"/>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2025-08-12T09:19:00Z</dcterms:created>
  <dc:creator>Administrator</dc:creator>
  <cp:lastModifiedBy>Administrator</cp:lastModifiedBy>
  <dcterms:modified xsi:type="dcterms:W3CDTF">2025-08-12T09:19:55Z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F9F73BD6FE0E467BB364828A6144605B_11</vt:lpwstr>
  </property>
  <property fmtid="{D5CDD505-2E9C-101B-9397-08002B2CF9AE}" pid="4" name="KSOTemplateDocerSaveRecord">
    <vt:lpwstr>eyJoZGlkIjoiNzk3ZTYwYjQxYzI5NmQxMmU1YzVjZjJiYWZhOTJhNjYifQ==</vt:lpwstr>
  </property>
</Properties>
</file>